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AF1" w:rsidRDefault="00B548E3" w:rsidP="00B37E3E">
      <w:pPr>
        <w:ind w:left="4248" w:hanging="4248"/>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42pt;margin-top:18pt;width:135pt;height:75pt;z-index:251657728" o:allowincell="f">
            <v:imagedata r:id="rId5" o:title=""/>
          </v:shape>
          <o:OLEObject Type="Embed" ProgID="MSPhotoEd.3" ShapeID="_x0000_s1027" DrawAspect="Content" ObjectID="_1452599550" r:id="rId6"/>
        </w:pict>
      </w:r>
      <w:r w:rsidR="00CB5AF1">
        <w:t xml:space="preserve"> </w:t>
      </w:r>
      <w:r w:rsidR="001908E7">
        <w:rPr>
          <w:noProof/>
        </w:rPr>
        <w:drawing>
          <wp:inline distT="0" distB="0" distL="0" distR="0">
            <wp:extent cx="1390650" cy="1143000"/>
            <wp:effectExtent l="0" t="0" r="0" b="0"/>
            <wp:docPr id="1" name="Image 1" descr="logo cro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rou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90650" cy="1143000"/>
                    </a:xfrm>
                    <a:prstGeom prst="rect">
                      <a:avLst/>
                    </a:prstGeom>
                    <a:noFill/>
                    <a:ln>
                      <a:noFill/>
                    </a:ln>
                  </pic:spPr>
                </pic:pic>
              </a:graphicData>
            </a:graphic>
          </wp:inline>
        </w:drawing>
      </w:r>
      <w:r w:rsidR="00B37E3E">
        <w:t xml:space="preserve">                         </w:t>
      </w:r>
      <w:r w:rsidR="00B37E3E">
        <w:object w:dxaOrig="1935" w:dyaOrig="1500">
          <v:shape id="_x0000_i1026" type="#_x0000_t75" style="width:84pt;height:75pt" o:ole="">
            <v:imagedata r:id="rId8" o:title=""/>
          </v:shape>
          <o:OLEObject Type="Embed" ProgID="MSPhotoEd.3" ShapeID="_x0000_i1026" DrawAspect="Content" ObjectID="_1452599549" r:id="rId9"/>
        </w:object>
      </w:r>
      <w:r w:rsidR="00B37E3E">
        <w:t xml:space="preserve">   </w:t>
      </w:r>
      <w:r w:rsidR="00CB5AF1">
        <w:t xml:space="preserve">                   </w:t>
      </w:r>
      <w:r w:rsidR="00CB5AF1">
        <w:tab/>
      </w:r>
      <w:r w:rsidR="00CB5AF1">
        <w:tab/>
      </w:r>
      <w:r w:rsidR="00CB5AF1">
        <w:tab/>
      </w:r>
      <w:r w:rsidR="00CB5AF1">
        <w:tab/>
        <w:t xml:space="preserve">    </w:t>
      </w:r>
    </w:p>
    <w:p w:rsidR="00B9038E" w:rsidRDefault="00B9038E" w:rsidP="00B9038E">
      <w:pPr>
        <w:pStyle w:val="Titre"/>
        <w:rPr>
          <w:rFonts w:ascii="Century Gothic" w:hAnsi="Century Gothic"/>
          <w:sz w:val="22"/>
          <w:szCs w:val="22"/>
        </w:rPr>
      </w:pPr>
    </w:p>
    <w:p w:rsidR="00B9038E" w:rsidRPr="00B9038E" w:rsidRDefault="00B9038E" w:rsidP="00B9038E">
      <w:pPr>
        <w:pStyle w:val="Titre"/>
        <w:rPr>
          <w:rFonts w:ascii="Century Gothic" w:hAnsi="Century Gothic"/>
          <w:sz w:val="24"/>
          <w:szCs w:val="24"/>
        </w:rPr>
      </w:pPr>
      <w:r w:rsidRPr="00B9038E">
        <w:rPr>
          <w:rFonts w:ascii="Century Gothic" w:hAnsi="Century Gothic"/>
          <w:sz w:val="24"/>
          <w:szCs w:val="24"/>
        </w:rPr>
        <w:t xml:space="preserve">CONVENTION CONSTITUTIVE DU GROUPEMENT DE COMMANDES </w:t>
      </w:r>
    </w:p>
    <w:p w:rsidR="00B9038E" w:rsidRPr="00B9038E" w:rsidRDefault="00B9038E" w:rsidP="00B9038E">
      <w:pPr>
        <w:jc w:val="center"/>
        <w:rPr>
          <w:rFonts w:ascii="Century Gothic" w:hAnsi="Century Gothic"/>
          <w:b/>
          <w:sz w:val="24"/>
          <w:szCs w:val="24"/>
        </w:rPr>
      </w:pPr>
      <w:r w:rsidRPr="00B9038E">
        <w:rPr>
          <w:rFonts w:ascii="Century Gothic" w:hAnsi="Century Gothic"/>
          <w:b/>
          <w:sz w:val="24"/>
          <w:szCs w:val="24"/>
        </w:rPr>
        <w:t>POUR LA FOURNITURE DE CARTES MULTI SERVICES MIFARE</w:t>
      </w:r>
    </w:p>
    <w:p w:rsidR="00B9038E" w:rsidRPr="00B9038E" w:rsidRDefault="00B9038E" w:rsidP="00B9038E">
      <w:pPr>
        <w:jc w:val="center"/>
        <w:rPr>
          <w:rFonts w:ascii="Century Gothic" w:hAnsi="Century Gothic"/>
          <w:b/>
          <w:sz w:val="24"/>
          <w:szCs w:val="24"/>
        </w:rPr>
      </w:pPr>
    </w:p>
    <w:p w:rsidR="00B9038E" w:rsidRPr="00B9038E" w:rsidRDefault="00B9038E" w:rsidP="00B9038E">
      <w:pPr>
        <w:jc w:val="center"/>
        <w:rPr>
          <w:rFonts w:ascii="Century Gothic" w:hAnsi="Century Gothic"/>
          <w:b/>
          <w:sz w:val="24"/>
          <w:szCs w:val="24"/>
        </w:rPr>
      </w:pPr>
      <w:r w:rsidRPr="00B9038E">
        <w:rPr>
          <w:rFonts w:ascii="Century Gothic" w:hAnsi="Century Gothic"/>
          <w:b/>
          <w:sz w:val="24"/>
          <w:szCs w:val="24"/>
        </w:rPr>
        <w:t>Correspondant au marché</w:t>
      </w:r>
    </w:p>
    <w:p w:rsidR="00B9038E" w:rsidRPr="00B9038E" w:rsidRDefault="00B9038E" w:rsidP="00B9038E">
      <w:pPr>
        <w:jc w:val="center"/>
        <w:rPr>
          <w:rFonts w:ascii="Century Gothic" w:hAnsi="Century Gothic"/>
          <w:b/>
          <w:sz w:val="24"/>
          <w:szCs w:val="24"/>
        </w:rPr>
      </w:pPr>
      <w:r w:rsidRPr="00B9038E">
        <w:rPr>
          <w:rFonts w:ascii="Century Gothic" w:hAnsi="Century Gothic"/>
          <w:b/>
          <w:sz w:val="24"/>
          <w:szCs w:val="24"/>
        </w:rPr>
        <w:t xml:space="preserve">« Cartes multiservices </w:t>
      </w:r>
      <w:proofErr w:type="spellStart"/>
      <w:r w:rsidRPr="00B9038E">
        <w:rPr>
          <w:rFonts w:ascii="Century Gothic" w:hAnsi="Century Gothic"/>
          <w:b/>
          <w:sz w:val="24"/>
          <w:szCs w:val="24"/>
        </w:rPr>
        <w:t>Mifare</w:t>
      </w:r>
      <w:proofErr w:type="spellEnd"/>
      <w:r w:rsidRPr="00B9038E">
        <w:rPr>
          <w:rFonts w:ascii="Century Gothic" w:hAnsi="Century Gothic"/>
          <w:b/>
          <w:sz w:val="24"/>
          <w:szCs w:val="24"/>
        </w:rPr>
        <w:t> »</w:t>
      </w:r>
    </w:p>
    <w:p w:rsidR="00B9038E" w:rsidRPr="004E47EF" w:rsidRDefault="00B9038E" w:rsidP="00B9038E">
      <w:pPr>
        <w:jc w:val="center"/>
        <w:rPr>
          <w:rFonts w:ascii="Century Gothic" w:hAnsi="Century Gothic"/>
          <w:b/>
          <w:sz w:val="22"/>
          <w:szCs w:val="22"/>
        </w:rPr>
      </w:pPr>
    </w:p>
    <w:p w:rsidR="00B9038E" w:rsidRPr="00B9038E" w:rsidRDefault="00B9038E" w:rsidP="00B9038E">
      <w:pPr>
        <w:rPr>
          <w:rStyle w:val="goohl1"/>
          <w:rFonts w:ascii="Century Gothic" w:hAnsi="Century Gothic"/>
        </w:rPr>
      </w:pPr>
      <w:r w:rsidRPr="00B9038E">
        <w:rPr>
          <w:rStyle w:val="goohl1"/>
          <w:rFonts w:ascii="Century Gothic" w:hAnsi="Century Gothic"/>
        </w:rPr>
        <w:t>Un groupement de commandes est constitué entre :</w:t>
      </w:r>
    </w:p>
    <w:p w:rsidR="00B9038E" w:rsidRPr="00B9038E" w:rsidRDefault="00B9038E" w:rsidP="00B9038E">
      <w:pPr>
        <w:rPr>
          <w:rStyle w:val="goohl1"/>
          <w:rFonts w:ascii="Century Gothic" w:hAnsi="Century Gothic"/>
        </w:rPr>
      </w:pPr>
    </w:p>
    <w:p w:rsidR="00B9038E" w:rsidRPr="00B9038E" w:rsidRDefault="00B9038E" w:rsidP="00B9038E">
      <w:pPr>
        <w:rPr>
          <w:rFonts w:ascii="Century Gothic" w:hAnsi="Century Gothic"/>
        </w:rPr>
      </w:pPr>
      <w:r w:rsidRPr="00B9038E">
        <w:rPr>
          <w:rStyle w:val="goohl1"/>
          <w:rFonts w:ascii="Century Gothic" w:hAnsi="Century Gothic"/>
        </w:rPr>
        <w:t xml:space="preserve">-Le CROUS d’Orléans-Tours, </w:t>
      </w:r>
      <w:r w:rsidRPr="00B9038E">
        <w:rPr>
          <w:rFonts w:ascii="Century Gothic" w:hAnsi="Century Gothic"/>
        </w:rPr>
        <w:t xml:space="preserve">représenté par son représentant légal, </w:t>
      </w:r>
      <w:r w:rsidRPr="00B548E3">
        <w:rPr>
          <w:rFonts w:ascii="Century Gothic" w:hAnsi="Century Gothic"/>
          <w:b/>
        </w:rPr>
        <w:t>M. AMIARD</w:t>
      </w:r>
      <w:r w:rsidRPr="00B9038E">
        <w:rPr>
          <w:rFonts w:ascii="Century Gothic" w:hAnsi="Century Gothic"/>
        </w:rPr>
        <w:t>, Directeur du CROUS, 17 avenue Dauphine 45072 ORLEANS CEDEX 2 ;</w:t>
      </w:r>
    </w:p>
    <w:p w:rsidR="00B9038E" w:rsidRPr="00B9038E" w:rsidRDefault="00B9038E" w:rsidP="00B9038E">
      <w:pPr>
        <w:rPr>
          <w:rStyle w:val="goohl1"/>
          <w:rFonts w:ascii="Century Gothic" w:hAnsi="Century Gothic"/>
        </w:rPr>
      </w:pPr>
    </w:p>
    <w:p w:rsidR="00B9038E" w:rsidRPr="00B9038E" w:rsidRDefault="00B9038E" w:rsidP="00B9038E">
      <w:pPr>
        <w:pStyle w:val="Corpsdetexte2"/>
        <w:rPr>
          <w:rStyle w:val="goohl1"/>
          <w:rFonts w:ascii="Century Gothic" w:hAnsi="Century Gothic"/>
          <w:color w:val="auto"/>
          <w:sz w:val="20"/>
        </w:rPr>
      </w:pPr>
      <w:r w:rsidRPr="00B9038E">
        <w:rPr>
          <w:rStyle w:val="goohl1"/>
          <w:rFonts w:ascii="Century Gothic" w:hAnsi="Century Gothic"/>
          <w:color w:val="auto"/>
          <w:sz w:val="20"/>
        </w:rPr>
        <w:t xml:space="preserve">-L’Université d’Orléans, représenté par son représentant légal, </w:t>
      </w:r>
      <w:r w:rsidRPr="00B548E3">
        <w:rPr>
          <w:rStyle w:val="goohl1"/>
          <w:rFonts w:ascii="Century Gothic" w:hAnsi="Century Gothic"/>
          <w:b/>
          <w:color w:val="auto"/>
          <w:sz w:val="20"/>
        </w:rPr>
        <w:t>M. TOURE</w:t>
      </w:r>
      <w:r w:rsidRPr="00B9038E">
        <w:rPr>
          <w:rStyle w:val="goohl1"/>
          <w:rFonts w:ascii="Century Gothic" w:hAnsi="Century Gothic"/>
          <w:color w:val="auto"/>
          <w:sz w:val="20"/>
        </w:rPr>
        <w:t>, Président de l’Université, Château de la Source BP 6749 45067 ORLEANS CEDEX ;</w:t>
      </w:r>
    </w:p>
    <w:p w:rsidR="00B9038E" w:rsidRPr="00B9038E" w:rsidRDefault="00B9038E" w:rsidP="00B9038E">
      <w:pPr>
        <w:rPr>
          <w:rStyle w:val="goohl1"/>
          <w:rFonts w:ascii="Century Gothic" w:hAnsi="Century Gothic"/>
        </w:rPr>
      </w:pPr>
    </w:p>
    <w:p w:rsidR="00B9038E" w:rsidRPr="00B9038E" w:rsidRDefault="00B9038E" w:rsidP="00B9038E">
      <w:pPr>
        <w:rPr>
          <w:rStyle w:val="goohl1"/>
          <w:rFonts w:ascii="Century Gothic" w:hAnsi="Century Gothic"/>
        </w:rPr>
      </w:pPr>
      <w:r w:rsidRPr="00B9038E">
        <w:rPr>
          <w:rStyle w:val="goohl1"/>
          <w:rFonts w:ascii="Century Gothic" w:hAnsi="Century Gothic"/>
        </w:rPr>
        <w:t xml:space="preserve">-L’Université François Rabelais de Tours, représenté par son représentant légal, </w:t>
      </w:r>
      <w:r w:rsidRPr="00B548E3">
        <w:rPr>
          <w:rStyle w:val="goohl1"/>
          <w:rFonts w:ascii="Century Gothic" w:hAnsi="Century Gothic"/>
          <w:b/>
        </w:rPr>
        <w:t>M. VAILLANT</w:t>
      </w:r>
      <w:r w:rsidRPr="00B9038E">
        <w:rPr>
          <w:rStyle w:val="goohl1"/>
          <w:rFonts w:ascii="Century Gothic" w:hAnsi="Century Gothic"/>
        </w:rPr>
        <w:t>, Président de l’Université, 3 rue des Tanneurs 37041 TOURS CEDEX 1.</w:t>
      </w:r>
    </w:p>
    <w:p w:rsidR="00B9038E" w:rsidRPr="00B9038E" w:rsidRDefault="00B9038E" w:rsidP="00B9038E">
      <w:pPr>
        <w:rPr>
          <w:rStyle w:val="goohl1"/>
          <w:rFonts w:ascii="Century Gothic" w:hAnsi="Century Gothic"/>
        </w:rPr>
      </w:pPr>
      <w:bookmarkStart w:id="0" w:name="_GoBack"/>
      <w:bookmarkEnd w:id="0"/>
    </w:p>
    <w:p w:rsidR="00B9038E" w:rsidRPr="00B9038E" w:rsidRDefault="00B9038E" w:rsidP="00B9038E">
      <w:pPr>
        <w:rPr>
          <w:rFonts w:ascii="Century Gothic" w:hAnsi="Century Gothic"/>
        </w:rPr>
      </w:pPr>
      <w:r w:rsidRPr="00B9038E">
        <w:rPr>
          <w:rFonts w:ascii="Century Gothic" w:hAnsi="Century Gothic"/>
        </w:rPr>
        <w:t>Le présent groupement est librement constitué entre ses membres.</w:t>
      </w:r>
    </w:p>
    <w:p w:rsidR="00B9038E" w:rsidRPr="00B9038E" w:rsidRDefault="00B9038E" w:rsidP="00B9038E">
      <w:pPr>
        <w:rPr>
          <w:rStyle w:val="goohl1"/>
          <w:rFonts w:ascii="Century Gothic" w:hAnsi="Century Gothic"/>
          <w:i/>
        </w:rPr>
      </w:pPr>
    </w:p>
    <w:p w:rsidR="00B9038E" w:rsidRPr="00B9038E" w:rsidRDefault="00B9038E" w:rsidP="00B9038E">
      <w:pPr>
        <w:spacing w:before="100" w:beforeAutospacing="1" w:after="100" w:afterAutospacing="1"/>
        <w:rPr>
          <w:rFonts w:ascii="Century Gothic" w:hAnsi="Century Gothic"/>
        </w:rPr>
      </w:pPr>
      <w:r w:rsidRPr="00B9038E">
        <w:rPr>
          <w:rFonts w:ascii="Century Gothic" w:hAnsi="Century Gothic"/>
        </w:rPr>
        <w:t>Vu l’article 8.VII.2 du code des Marchés publics,</w:t>
      </w:r>
    </w:p>
    <w:p w:rsidR="00B9038E" w:rsidRPr="00B9038E" w:rsidRDefault="00B9038E" w:rsidP="00B9038E">
      <w:pPr>
        <w:spacing w:before="100" w:beforeAutospacing="1" w:after="100" w:afterAutospacing="1"/>
        <w:rPr>
          <w:rFonts w:ascii="Century Gothic" w:hAnsi="Century Gothic"/>
        </w:rPr>
      </w:pPr>
    </w:p>
    <w:p w:rsidR="00B9038E" w:rsidRPr="00B9038E" w:rsidRDefault="00B9038E" w:rsidP="00B9038E">
      <w:pPr>
        <w:spacing w:before="100" w:beforeAutospacing="1" w:after="100" w:afterAutospacing="1"/>
        <w:rPr>
          <w:rFonts w:ascii="Century Gothic" w:hAnsi="Century Gothic"/>
        </w:rPr>
      </w:pPr>
      <w:r w:rsidRPr="00B9038E">
        <w:rPr>
          <w:rFonts w:ascii="Century Gothic" w:hAnsi="Century Gothic"/>
        </w:rPr>
        <w:t xml:space="preserve">Vu la délibération du Conseil d’Administration de l’Université d’Orléans en date du </w:t>
      </w:r>
    </w:p>
    <w:p w:rsidR="00B9038E" w:rsidRPr="00B9038E" w:rsidRDefault="00B9038E" w:rsidP="00B9038E">
      <w:pPr>
        <w:spacing w:before="100" w:beforeAutospacing="1" w:after="100" w:afterAutospacing="1"/>
        <w:rPr>
          <w:rFonts w:ascii="Century Gothic" w:hAnsi="Century Gothic"/>
        </w:rPr>
      </w:pPr>
      <w:r w:rsidRPr="00B9038E">
        <w:rPr>
          <w:rFonts w:ascii="Century Gothic" w:hAnsi="Century Gothic"/>
        </w:rPr>
        <w:t xml:space="preserve">Vu la délibération du Conseil d’Administration de l’Université François Rabelais de Tours en date du </w:t>
      </w:r>
    </w:p>
    <w:p w:rsidR="00B9038E" w:rsidRPr="00B9038E" w:rsidRDefault="00B9038E" w:rsidP="00B9038E">
      <w:pPr>
        <w:spacing w:before="100" w:beforeAutospacing="1" w:after="100" w:afterAutospacing="1"/>
        <w:rPr>
          <w:rFonts w:ascii="Century Gothic" w:hAnsi="Century Gothic"/>
        </w:rPr>
      </w:pPr>
      <w:r w:rsidRPr="00B9038E">
        <w:rPr>
          <w:rFonts w:ascii="Century Gothic" w:hAnsi="Century Gothic"/>
        </w:rPr>
        <w:t>Vu la délibération du Conseil d’Administration du  CROUS d’Orléans-Tours du,</w:t>
      </w:r>
    </w:p>
    <w:p w:rsidR="00B9038E" w:rsidRPr="00B9038E" w:rsidRDefault="00B9038E" w:rsidP="00B9038E">
      <w:pPr>
        <w:spacing w:before="100" w:beforeAutospacing="1" w:after="100" w:afterAutospacing="1"/>
        <w:rPr>
          <w:rFonts w:ascii="Century Gothic" w:hAnsi="Century Gothic"/>
        </w:rPr>
      </w:pPr>
    </w:p>
    <w:p w:rsidR="00B9038E" w:rsidRPr="00B9038E" w:rsidRDefault="00B9038E" w:rsidP="00B9038E">
      <w:pPr>
        <w:rPr>
          <w:rFonts w:ascii="Century Gothic" w:hAnsi="Century Gothic"/>
        </w:rPr>
      </w:pPr>
      <w:r w:rsidRPr="00B9038E">
        <w:rPr>
          <w:rFonts w:ascii="Century Gothic" w:hAnsi="Century Gothic"/>
        </w:rPr>
        <w:t xml:space="preserve">Considérant l’intérêt d’un groupement de commandes, chargé d’assurer le lancement de la consultation permettant, par la mutualisation des besoins, d’obtenir un déploiement cohérent de cartes  multiservices </w:t>
      </w:r>
      <w:proofErr w:type="spellStart"/>
      <w:r w:rsidRPr="00B9038E">
        <w:rPr>
          <w:rFonts w:ascii="Century Gothic" w:hAnsi="Century Gothic"/>
        </w:rPr>
        <w:t>Mifare</w:t>
      </w:r>
      <w:proofErr w:type="spellEnd"/>
      <w:r w:rsidRPr="00B9038E">
        <w:rPr>
          <w:rFonts w:ascii="Century Gothic" w:hAnsi="Century Gothic"/>
        </w:rPr>
        <w:t xml:space="preserve"> auprès des étudiants et des personnels des établissements membres du groupement de commandes.</w:t>
      </w:r>
    </w:p>
    <w:p w:rsidR="00B9038E" w:rsidRPr="00B9038E" w:rsidRDefault="00B9038E" w:rsidP="00B9038E">
      <w:pPr>
        <w:jc w:val="center"/>
        <w:rPr>
          <w:rStyle w:val="goohl1"/>
          <w:rFonts w:ascii="Century Gothic" w:hAnsi="Century Gothic"/>
        </w:rPr>
      </w:pPr>
    </w:p>
    <w:p w:rsidR="00B9038E" w:rsidRPr="00B9038E" w:rsidRDefault="00B9038E" w:rsidP="00B9038E">
      <w:pPr>
        <w:jc w:val="center"/>
        <w:rPr>
          <w:rStyle w:val="goohl1"/>
          <w:rFonts w:ascii="Century Gothic" w:hAnsi="Century Gothic"/>
          <w:b/>
        </w:rPr>
      </w:pPr>
    </w:p>
    <w:p w:rsidR="00B9038E" w:rsidRPr="00B9038E" w:rsidRDefault="00B9038E" w:rsidP="00B9038E">
      <w:pPr>
        <w:jc w:val="center"/>
        <w:rPr>
          <w:rStyle w:val="goohl1"/>
          <w:rFonts w:ascii="Century Gothic" w:hAnsi="Century Gothic"/>
          <w:b/>
        </w:rPr>
      </w:pPr>
      <w:r w:rsidRPr="00B9038E">
        <w:rPr>
          <w:rStyle w:val="goohl1"/>
          <w:rFonts w:ascii="Century Gothic" w:hAnsi="Century Gothic"/>
          <w:b/>
        </w:rPr>
        <w:t>IL EST CONVENU CE QUI SUIT</w:t>
      </w:r>
    </w:p>
    <w:p w:rsidR="00B9038E" w:rsidRPr="00B9038E" w:rsidRDefault="00B9038E" w:rsidP="00B9038E">
      <w:pPr>
        <w:jc w:val="center"/>
        <w:rPr>
          <w:rStyle w:val="goohl1"/>
          <w:rFonts w:ascii="Century Gothic" w:hAnsi="Century Gothic"/>
          <w:b/>
        </w:rPr>
      </w:pPr>
    </w:p>
    <w:p w:rsidR="00B9038E" w:rsidRPr="00B9038E" w:rsidRDefault="00B9038E" w:rsidP="00B9038E">
      <w:pPr>
        <w:rPr>
          <w:rFonts w:ascii="Century Gothic" w:hAnsi="Century Gothic"/>
          <w:b/>
        </w:rPr>
      </w:pPr>
      <w:r w:rsidRPr="00B9038E">
        <w:rPr>
          <w:rFonts w:ascii="Century Gothic" w:hAnsi="Century Gothic"/>
          <w:b/>
        </w:rPr>
        <w:t>ARTICLE 1 : Objet</w:t>
      </w:r>
    </w:p>
    <w:p w:rsidR="00B9038E" w:rsidRPr="00B9038E" w:rsidRDefault="00B9038E" w:rsidP="00B9038E">
      <w:pPr>
        <w:rPr>
          <w:rFonts w:ascii="Century Gothic" w:hAnsi="Century Gothic"/>
          <w:b/>
        </w:rPr>
      </w:pPr>
    </w:p>
    <w:p w:rsidR="00B9038E" w:rsidRPr="00B9038E" w:rsidRDefault="00B9038E" w:rsidP="00B9038E">
      <w:pPr>
        <w:rPr>
          <w:rFonts w:ascii="Century Gothic" w:hAnsi="Century Gothic"/>
          <w:b/>
        </w:rPr>
      </w:pPr>
    </w:p>
    <w:p w:rsidR="00B9038E" w:rsidRPr="00B9038E" w:rsidRDefault="00B9038E" w:rsidP="00B9038E">
      <w:pPr>
        <w:rPr>
          <w:rFonts w:ascii="Century Gothic" w:hAnsi="Century Gothic"/>
        </w:rPr>
      </w:pPr>
      <w:r w:rsidRPr="00B9038E">
        <w:rPr>
          <w:rFonts w:ascii="Century Gothic" w:hAnsi="Century Gothic"/>
        </w:rPr>
        <w:t xml:space="preserve">Un </w:t>
      </w:r>
      <w:r w:rsidRPr="00B9038E">
        <w:rPr>
          <w:rStyle w:val="goohl2"/>
          <w:rFonts w:ascii="Century Gothic" w:hAnsi="Century Gothic"/>
        </w:rPr>
        <w:t>groupement</w:t>
      </w:r>
      <w:r w:rsidRPr="00B9038E">
        <w:rPr>
          <w:rFonts w:ascii="Century Gothic" w:hAnsi="Century Gothic"/>
        </w:rPr>
        <w:t xml:space="preserve"> de </w:t>
      </w:r>
      <w:r w:rsidRPr="00B9038E">
        <w:rPr>
          <w:rStyle w:val="goohl3"/>
          <w:rFonts w:ascii="Century Gothic" w:hAnsi="Century Gothic"/>
        </w:rPr>
        <w:t>commandes</w:t>
      </w:r>
      <w:r w:rsidRPr="00B9038E">
        <w:rPr>
          <w:rFonts w:ascii="Century Gothic" w:hAnsi="Century Gothic"/>
        </w:rPr>
        <w:t xml:space="preserve"> pour la passation d’un marché « Cartes  multiservices </w:t>
      </w:r>
      <w:proofErr w:type="spellStart"/>
      <w:r w:rsidRPr="00B9038E">
        <w:rPr>
          <w:rFonts w:ascii="Century Gothic" w:hAnsi="Century Gothic"/>
        </w:rPr>
        <w:t>Mifare</w:t>
      </w:r>
      <w:proofErr w:type="spellEnd"/>
      <w:r w:rsidRPr="00B9038E">
        <w:rPr>
          <w:rFonts w:ascii="Century Gothic" w:hAnsi="Century Gothic"/>
        </w:rPr>
        <w:t xml:space="preserve">», est constitué selon l’article 8.VII.2. </w:t>
      </w:r>
      <w:proofErr w:type="gramStart"/>
      <w:r w:rsidRPr="00B9038E">
        <w:rPr>
          <w:rFonts w:ascii="Century Gothic" w:hAnsi="Century Gothic"/>
        </w:rPr>
        <w:t>du</w:t>
      </w:r>
      <w:proofErr w:type="gramEnd"/>
      <w:r w:rsidRPr="00B9038E">
        <w:rPr>
          <w:rFonts w:ascii="Century Gothic" w:hAnsi="Century Gothic"/>
        </w:rPr>
        <w:t xml:space="preserve"> code des marchés publics.</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r w:rsidRPr="00B9038E">
        <w:rPr>
          <w:rFonts w:ascii="Century Gothic" w:hAnsi="Century Gothic"/>
        </w:rPr>
        <w:t>Dans le cadre de ce groupement, le mandataire choisit le cocontractant, signe avec le fournisseur retenu un marché au nom de l’ensemble des membres du groupement de commandes et s’assure de sa bonne exécution.</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r w:rsidRPr="00B9038E">
        <w:rPr>
          <w:rFonts w:ascii="Century Gothic" w:hAnsi="Century Gothic"/>
        </w:rPr>
        <w:t xml:space="preserve">Une convention financière annexée à la présente convention est passée entre les membres du groupement de commandes. Elle précise les modalités de prise en charge des dépenses du marché « Cartes multiservices </w:t>
      </w:r>
      <w:proofErr w:type="spellStart"/>
      <w:r w:rsidRPr="00B9038E">
        <w:rPr>
          <w:rFonts w:ascii="Century Gothic" w:hAnsi="Century Gothic"/>
        </w:rPr>
        <w:t>Mifare</w:t>
      </w:r>
      <w:proofErr w:type="spellEnd"/>
      <w:r w:rsidRPr="00B9038E">
        <w:rPr>
          <w:rFonts w:ascii="Century Gothic" w:hAnsi="Century Gothic"/>
        </w:rPr>
        <w:t> ».</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b/>
        </w:rPr>
      </w:pPr>
      <w:r w:rsidRPr="00B9038E">
        <w:rPr>
          <w:rFonts w:ascii="Century Gothic" w:hAnsi="Century Gothic"/>
          <w:b/>
        </w:rPr>
        <w:t>ARTICLE 2 : Mandataire du groupement de commandes</w:t>
      </w:r>
    </w:p>
    <w:p w:rsidR="00B9038E" w:rsidRPr="00B9038E" w:rsidRDefault="00B9038E" w:rsidP="00B9038E">
      <w:pPr>
        <w:rPr>
          <w:rFonts w:ascii="Century Gothic" w:hAnsi="Century Gothic"/>
          <w:b/>
        </w:rPr>
      </w:pP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r w:rsidRPr="00B9038E">
        <w:rPr>
          <w:rFonts w:ascii="Century Gothic" w:hAnsi="Century Gothic"/>
        </w:rPr>
        <w:t xml:space="preserve">L'ensemble des organismes publics membres du </w:t>
      </w:r>
      <w:r w:rsidRPr="00B9038E">
        <w:rPr>
          <w:rStyle w:val="goohl2"/>
          <w:rFonts w:ascii="Century Gothic" w:hAnsi="Century Gothic"/>
        </w:rPr>
        <w:t>groupement</w:t>
      </w:r>
      <w:r w:rsidRPr="00B9038E">
        <w:rPr>
          <w:rFonts w:ascii="Century Gothic" w:hAnsi="Century Gothic"/>
        </w:rPr>
        <w:t xml:space="preserve"> désigne le CROUS d’Orléans-Tours comme mandataire du </w:t>
      </w:r>
      <w:r w:rsidRPr="00B9038E">
        <w:rPr>
          <w:rStyle w:val="goohl2"/>
          <w:rFonts w:ascii="Century Gothic" w:hAnsi="Century Gothic"/>
        </w:rPr>
        <w:t>groupement</w:t>
      </w:r>
      <w:r w:rsidRPr="00B9038E">
        <w:rPr>
          <w:rFonts w:ascii="Century Gothic" w:hAnsi="Century Gothic"/>
        </w:rPr>
        <w:t>.</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r w:rsidRPr="00B9038E">
        <w:rPr>
          <w:rFonts w:ascii="Century Gothic" w:hAnsi="Century Gothic"/>
        </w:rPr>
        <w:t>Le CROUS d’Orléans-Tours est représenté par son représentant légal, le Directeur du CROUS.</w:t>
      </w:r>
    </w:p>
    <w:p w:rsidR="00B9038E" w:rsidRPr="00B9038E" w:rsidRDefault="00B9038E" w:rsidP="00B9038E">
      <w:pPr>
        <w:rPr>
          <w:rFonts w:ascii="Century Gothic" w:hAnsi="Century Gothic"/>
        </w:rPr>
      </w:pPr>
      <w:r w:rsidRPr="00B9038E">
        <w:rPr>
          <w:rFonts w:ascii="Century Gothic" w:hAnsi="Century Gothic"/>
        </w:rPr>
        <w:t>Le siège du mandataire est situé : 17 avenue Dauphine 45072 ORLEANS CEDEX 2.</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p>
    <w:p w:rsidR="00B9038E" w:rsidRPr="00B9038E" w:rsidRDefault="00B9038E" w:rsidP="00B9038E">
      <w:pPr>
        <w:rPr>
          <w:rStyle w:val="goohl2"/>
          <w:rFonts w:ascii="Century Gothic" w:hAnsi="Century Gothic"/>
          <w:b/>
        </w:rPr>
      </w:pPr>
      <w:r w:rsidRPr="00B9038E">
        <w:rPr>
          <w:rFonts w:ascii="Century Gothic" w:hAnsi="Century Gothic"/>
          <w:b/>
        </w:rPr>
        <w:t xml:space="preserve">ARTICLE 3 : Missions et responsabilités du mandataire du </w:t>
      </w:r>
      <w:r w:rsidRPr="00B9038E">
        <w:rPr>
          <w:rStyle w:val="goohl2"/>
          <w:rFonts w:ascii="Century Gothic" w:hAnsi="Century Gothic"/>
          <w:b/>
        </w:rPr>
        <w:t>groupement</w:t>
      </w:r>
    </w:p>
    <w:p w:rsidR="00B9038E" w:rsidRPr="00B9038E" w:rsidRDefault="00B9038E" w:rsidP="00B9038E">
      <w:pPr>
        <w:rPr>
          <w:rStyle w:val="goohl2"/>
          <w:rFonts w:ascii="Century Gothic" w:hAnsi="Century Gothic"/>
          <w:b/>
        </w:rPr>
      </w:pPr>
    </w:p>
    <w:p w:rsidR="00B9038E" w:rsidRPr="00B9038E" w:rsidRDefault="00B9038E" w:rsidP="00B9038E">
      <w:pPr>
        <w:pStyle w:val="NormalWeb"/>
        <w:rPr>
          <w:rFonts w:ascii="Century Gothic" w:hAnsi="Century Gothic"/>
          <w:color w:val="333399"/>
          <w:sz w:val="20"/>
          <w:szCs w:val="20"/>
          <w:u w:val="single"/>
        </w:rPr>
      </w:pPr>
      <w:r w:rsidRPr="00B9038E">
        <w:rPr>
          <w:rFonts w:ascii="Century Gothic" w:hAnsi="Century Gothic"/>
          <w:color w:val="333399"/>
          <w:sz w:val="20"/>
          <w:szCs w:val="20"/>
          <w:u w:val="single"/>
        </w:rPr>
        <w:t>3.1 : Assistance et Recueil des besoins de l’ensemble des membres</w:t>
      </w:r>
    </w:p>
    <w:p w:rsidR="00B9038E" w:rsidRPr="00B9038E" w:rsidRDefault="00B9038E" w:rsidP="00B9038E">
      <w:pPr>
        <w:pStyle w:val="NormalWeb"/>
        <w:rPr>
          <w:rFonts w:ascii="Century Gothic" w:hAnsi="Century Gothic"/>
          <w:sz w:val="20"/>
          <w:szCs w:val="20"/>
        </w:rPr>
      </w:pPr>
      <w:r w:rsidRPr="00B9038E">
        <w:rPr>
          <w:rFonts w:ascii="Century Gothic" w:hAnsi="Century Gothic"/>
          <w:sz w:val="20"/>
          <w:szCs w:val="20"/>
        </w:rPr>
        <w:t>Le mandataire assiste les membres dans la définition de leurs besoins et procède à leur recueil en vue de leur recensement.</w:t>
      </w:r>
    </w:p>
    <w:p w:rsidR="00B9038E" w:rsidRPr="00B9038E" w:rsidRDefault="00B9038E" w:rsidP="00B9038E">
      <w:pPr>
        <w:pStyle w:val="NormalWeb"/>
        <w:rPr>
          <w:rFonts w:ascii="Century Gothic" w:hAnsi="Century Gothic"/>
          <w:sz w:val="20"/>
          <w:szCs w:val="20"/>
        </w:rPr>
      </w:pPr>
    </w:p>
    <w:p w:rsidR="00B9038E" w:rsidRPr="00B9038E" w:rsidRDefault="00B9038E" w:rsidP="00B9038E">
      <w:pPr>
        <w:pStyle w:val="NormalWeb"/>
        <w:rPr>
          <w:rFonts w:ascii="Century Gothic" w:hAnsi="Century Gothic"/>
          <w:color w:val="333399"/>
          <w:sz w:val="20"/>
          <w:szCs w:val="20"/>
          <w:u w:val="single"/>
        </w:rPr>
      </w:pPr>
      <w:r w:rsidRPr="00B9038E">
        <w:rPr>
          <w:rFonts w:ascii="Century Gothic" w:hAnsi="Century Gothic"/>
          <w:color w:val="333399"/>
          <w:sz w:val="20"/>
          <w:szCs w:val="20"/>
          <w:u w:val="single"/>
        </w:rPr>
        <w:t>3.2 : Établissement des dossiers de consultation des entreprises</w:t>
      </w:r>
    </w:p>
    <w:p w:rsidR="00B9038E" w:rsidRPr="00B9038E" w:rsidRDefault="00B9038E" w:rsidP="00B9038E">
      <w:pPr>
        <w:pStyle w:val="NormalWeb"/>
        <w:rPr>
          <w:rFonts w:ascii="Century Gothic" w:hAnsi="Century Gothic"/>
          <w:sz w:val="20"/>
          <w:szCs w:val="20"/>
        </w:rPr>
      </w:pPr>
      <w:r w:rsidRPr="00B9038E">
        <w:rPr>
          <w:rFonts w:ascii="Century Gothic" w:hAnsi="Century Gothic"/>
          <w:sz w:val="20"/>
          <w:szCs w:val="20"/>
        </w:rPr>
        <w:t>Le mandataire élabore l’ensemble du dossier de consultation des entreprises en fonction des besoins qui ont été définis par les membres et du cahier des charges établi. </w:t>
      </w:r>
    </w:p>
    <w:p w:rsidR="00B9038E" w:rsidRPr="00B9038E" w:rsidRDefault="00B9038E" w:rsidP="00B9038E">
      <w:pPr>
        <w:pStyle w:val="NormalWeb"/>
        <w:rPr>
          <w:rFonts w:ascii="Century Gothic" w:hAnsi="Century Gothic"/>
          <w:sz w:val="20"/>
          <w:szCs w:val="20"/>
        </w:rPr>
      </w:pPr>
    </w:p>
    <w:p w:rsidR="00B9038E" w:rsidRPr="00B9038E" w:rsidRDefault="00B9038E" w:rsidP="00B9038E">
      <w:pPr>
        <w:pStyle w:val="NormalWeb"/>
        <w:rPr>
          <w:rFonts w:ascii="Century Gothic" w:hAnsi="Century Gothic"/>
          <w:color w:val="333399"/>
          <w:sz w:val="20"/>
          <w:szCs w:val="20"/>
          <w:u w:val="single"/>
        </w:rPr>
      </w:pPr>
      <w:r w:rsidRPr="00B9038E">
        <w:rPr>
          <w:rFonts w:ascii="Century Gothic" w:hAnsi="Century Gothic"/>
          <w:color w:val="333399"/>
          <w:sz w:val="20"/>
          <w:szCs w:val="20"/>
        </w:rPr>
        <w:t> </w:t>
      </w:r>
      <w:r w:rsidRPr="00B9038E">
        <w:rPr>
          <w:rFonts w:ascii="Century Gothic" w:hAnsi="Century Gothic"/>
          <w:color w:val="333399"/>
          <w:sz w:val="20"/>
          <w:szCs w:val="20"/>
          <w:u w:val="single"/>
        </w:rPr>
        <w:t>3.3 : Organisation des opérations de sélection du cocontractant</w:t>
      </w:r>
    </w:p>
    <w:p w:rsidR="00B9038E" w:rsidRPr="00B9038E" w:rsidRDefault="00B9038E" w:rsidP="00B9038E">
      <w:pPr>
        <w:pStyle w:val="NormalWeb"/>
        <w:rPr>
          <w:rFonts w:ascii="Century Gothic" w:hAnsi="Century Gothic"/>
          <w:sz w:val="20"/>
          <w:szCs w:val="20"/>
        </w:rPr>
      </w:pPr>
      <w:r w:rsidRPr="00B9038E">
        <w:rPr>
          <w:rFonts w:ascii="Century Gothic" w:hAnsi="Century Gothic"/>
          <w:sz w:val="20"/>
          <w:szCs w:val="20"/>
        </w:rPr>
        <w:t xml:space="preserve">Le mandataire assure l’ensemble des opérations de sélection du cocontractant, à savoir il est notamment chargé d’assurer: </w:t>
      </w:r>
    </w:p>
    <w:p w:rsidR="00B9038E" w:rsidRPr="00B9038E" w:rsidRDefault="00B9038E" w:rsidP="00B9038E">
      <w:pPr>
        <w:tabs>
          <w:tab w:val="left" w:pos="142"/>
        </w:tabs>
        <w:spacing w:before="100" w:beforeAutospacing="1" w:after="100" w:afterAutospacing="1"/>
        <w:rPr>
          <w:rFonts w:ascii="Century Gothic" w:hAnsi="Century Gothic"/>
        </w:rPr>
      </w:pPr>
      <w:r w:rsidRPr="00B9038E">
        <w:rPr>
          <w:rFonts w:ascii="Century Gothic" w:hAnsi="Century Gothic"/>
        </w:rPr>
        <w:t xml:space="preserve">- la rédaction et l’envoi à la publication des avis d’appel public à la concurrence ; </w:t>
      </w:r>
    </w:p>
    <w:p w:rsidR="00B9038E" w:rsidRPr="00B9038E" w:rsidRDefault="00B9038E" w:rsidP="00B9038E">
      <w:pPr>
        <w:rPr>
          <w:rFonts w:ascii="Century Gothic" w:hAnsi="Century Gothic" w:cs="Tahoma"/>
        </w:rPr>
      </w:pPr>
      <w:r w:rsidRPr="00B9038E">
        <w:rPr>
          <w:rFonts w:ascii="Century Gothic" w:hAnsi="Century Gothic" w:cs="Tahoma"/>
        </w:rPr>
        <w:t>- l'envoi des convocations aux réunions de la Commission des Marchés aux représentants des membres adhérents ;</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r w:rsidRPr="00B9038E">
        <w:rPr>
          <w:rFonts w:ascii="Century Gothic" w:hAnsi="Century Gothic"/>
        </w:rPr>
        <w:t>- la mise en œuvre de la procédure d’analyse des offres  en accord avec les membres du groupement;</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r w:rsidRPr="00B9038E">
        <w:rPr>
          <w:rFonts w:ascii="Century Gothic" w:hAnsi="Century Gothic"/>
        </w:rPr>
        <w:t>- l’information des candidats non retenus ;</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r w:rsidRPr="00B9038E">
        <w:rPr>
          <w:rFonts w:ascii="Century Gothic" w:hAnsi="Century Gothic"/>
        </w:rPr>
        <w:t xml:space="preserve">- la rédaction du rapport de présentation du pouvoir adjudicateur prévu à l’article 79 du code des marchés publics ; </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r w:rsidRPr="00B9038E">
        <w:rPr>
          <w:rFonts w:ascii="Century Gothic" w:hAnsi="Century Gothic"/>
        </w:rPr>
        <w:t>- La notification du marché au titulaire.</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r w:rsidRPr="00B9038E">
        <w:rPr>
          <w:rFonts w:ascii="Century Gothic" w:hAnsi="Century Gothic"/>
        </w:rPr>
        <w:lastRenderedPageBreak/>
        <w:t xml:space="preserve">- la transmission aux membres du </w:t>
      </w:r>
      <w:r w:rsidRPr="00B9038E">
        <w:rPr>
          <w:rStyle w:val="goohl2"/>
          <w:rFonts w:ascii="Century Gothic" w:hAnsi="Century Gothic"/>
        </w:rPr>
        <w:t>groupement</w:t>
      </w:r>
      <w:r w:rsidRPr="00B9038E">
        <w:rPr>
          <w:rFonts w:ascii="Century Gothic" w:hAnsi="Century Gothic"/>
        </w:rPr>
        <w:t xml:space="preserve"> d’une copie des documents du marché : acte d'engagement, offres de prix retenues, règlement de la consultation, CCTP, procès-verbal de la Commission des Marchés portant sur la  recevabilité des candidatures et le choix des offres, rapport de présentation) ;</w:t>
      </w:r>
    </w:p>
    <w:p w:rsidR="00B9038E" w:rsidRPr="00B9038E" w:rsidRDefault="00B9038E" w:rsidP="00B9038E">
      <w:pPr>
        <w:rPr>
          <w:rFonts w:ascii="Century Gothic" w:hAnsi="Century Gothic"/>
        </w:rPr>
      </w:pPr>
    </w:p>
    <w:p w:rsidR="00B9038E" w:rsidRPr="00B9038E" w:rsidRDefault="00B9038E" w:rsidP="00B9038E">
      <w:pPr>
        <w:pStyle w:val="Corpsdetexte"/>
        <w:rPr>
          <w:rFonts w:ascii="Century Gothic" w:hAnsi="Century Gothic"/>
          <w:sz w:val="20"/>
        </w:rPr>
      </w:pPr>
      <w:r w:rsidRPr="00B9038E">
        <w:rPr>
          <w:rFonts w:ascii="Century Gothic" w:hAnsi="Century Gothic"/>
          <w:sz w:val="20"/>
        </w:rPr>
        <w:t>- la publication de l'avis d'attribution.</w:t>
      </w:r>
    </w:p>
    <w:p w:rsidR="00B9038E" w:rsidRPr="00B9038E" w:rsidRDefault="00B9038E" w:rsidP="00B9038E">
      <w:pPr>
        <w:pStyle w:val="Corpsdetexte"/>
        <w:rPr>
          <w:rFonts w:ascii="Century Gothic" w:hAnsi="Century Gothic"/>
          <w:sz w:val="20"/>
        </w:rPr>
      </w:pPr>
    </w:p>
    <w:p w:rsidR="00B9038E" w:rsidRPr="00B9038E" w:rsidRDefault="00B9038E" w:rsidP="00B9038E">
      <w:pPr>
        <w:rPr>
          <w:rStyle w:val="goohl2"/>
          <w:rFonts w:ascii="Century Gothic" w:hAnsi="Century Gothic"/>
        </w:rPr>
      </w:pPr>
      <w:r w:rsidRPr="00B9038E">
        <w:rPr>
          <w:rFonts w:ascii="Century Gothic" w:hAnsi="Century Gothic"/>
        </w:rPr>
        <w:t xml:space="preserve">-L’exécution du marché : commandes, contrôles des livraisons (réception qualitative et quantitative) et paiement conformément aux dispositions prévues au Cahier des charges du </w:t>
      </w:r>
      <w:r w:rsidRPr="00B9038E">
        <w:rPr>
          <w:rStyle w:val="goohl2"/>
          <w:rFonts w:ascii="Century Gothic" w:hAnsi="Century Gothic"/>
        </w:rPr>
        <w:t>groupement ;</w:t>
      </w:r>
    </w:p>
    <w:p w:rsidR="00B9038E" w:rsidRPr="00B9038E" w:rsidRDefault="00B9038E" w:rsidP="00B9038E">
      <w:pPr>
        <w:pStyle w:val="Corpsdetexte"/>
        <w:rPr>
          <w:rFonts w:ascii="Century Gothic" w:hAnsi="Century Gothic"/>
          <w:sz w:val="20"/>
        </w:rPr>
      </w:pPr>
    </w:p>
    <w:p w:rsidR="00B9038E" w:rsidRPr="00B9038E" w:rsidRDefault="00B9038E" w:rsidP="00B9038E">
      <w:pPr>
        <w:pStyle w:val="NormalWeb"/>
        <w:rPr>
          <w:rFonts w:ascii="Century Gothic" w:hAnsi="Century Gothic"/>
          <w:color w:val="333399"/>
          <w:sz w:val="20"/>
          <w:szCs w:val="20"/>
          <w:u w:val="single"/>
        </w:rPr>
      </w:pPr>
      <w:r w:rsidRPr="00B9038E">
        <w:rPr>
          <w:rFonts w:ascii="Century Gothic" w:hAnsi="Century Gothic"/>
          <w:color w:val="333399"/>
          <w:sz w:val="20"/>
          <w:szCs w:val="20"/>
          <w:u w:val="single"/>
        </w:rPr>
        <w:t>3.4 : Responsabilités du mandataire</w:t>
      </w:r>
    </w:p>
    <w:p w:rsidR="00B9038E" w:rsidRPr="00B9038E" w:rsidRDefault="00B9038E" w:rsidP="00B9038E">
      <w:pPr>
        <w:rPr>
          <w:rFonts w:ascii="Century Gothic" w:hAnsi="Century Gothic"/>
        </w:rPr>
      </w:pPr>
      <w:r w:rsidRPr="00B9038E">
        <w:rPr>
          <w:rFonts w:ascii="Century Gothic" w:hAnsi="Century Gothic"/>
        </w:rPr>
        <w:t xml:space="preserve">Le mandataire est responsable envers les membres du </w:t>
      </w:r>
      <w:r w:rsidRPr="00B9038E">
        <w:rPr>
          <w:rStyle w:val="goohl2"/>
          <w:rFonts w:ascii="Century Gothic" w:hAnsi="Century Gothic"/>
        </w:rPr>
        <w:t>groupement</w:t>
      </w:r>
      <w:r w:rsidRPr="00B9038E">
        <w:rPr>
          <w:rFonts w:ascii="Century Gothic" w:hAnsi="Century Gothic"/>
        </w:rPr>
        <w:t xml:space="preserve"> de la bonne exécution des seules missions prévues aux paragraphes 3-1,3-2 et 3-3 du présent article de la </w:t>
      </w:r>
      <w:r w:rsidRPr="00B9038E">
        <w:rPr>
          <w:rStyle w:val="goohl0"/>
          <w:rFonts w:ascii="Century Gothic" w:hAnsi="Century Gothic"/>
        </w:rPr>
        <w:t>convention</w:t>
      </w:r>
      <w:r w:rsidRPr="00B9038E">
        <w:rPr>
          <w:rFonts w:ascii="Century Gothic" w:hAnsi="Century Gothic"/>
        </w:rPr>
        <w:t>.</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b/>
        </w:rPr>
      </w:pPr>
    </w:p>
    <w:p w:rsidR="00B9038E" w:rsidRPr="00B9038E" w:rsidRDefault="00B9038E" w:rsidP="00B9038E">
      <w:pPr>
        <w:rPr>
          <w:rStyle w:val="goohl2"/>
          <w:rFonts w:ascii="Century Gothic" w:hAnsi="Century Gothic"/>
          <w:b/>
        </w:rPr>
      </w:pPr>
      <w:r w:rsidRPr="00B9038E">
        <w:rPr>
          <w:rFonts w:ascii="Century Gothic" w:hAnsi="Century Gothic"/>
          <w:b/>
        </w:rPr>
        <w:t xml:space="preserve">ARTICLE 4 : Adhésion au </w:t>
      </w:r>
      <w:r w:rsidRPr="00B9038E">
        <w:rPr>
          <w:rStyle w:val="goohl2"/>
          <w:rFonts w:ascii="Century Gothic" w:hAnsi="Century Gothic"/>
          <w:b/>
        </w:rPr>
        <w:t>Groupement</w:t>
      </w:r>
    </w:p>
    <w:p w:rsidR="00B9038E" w:rsidRPr="00B9038E" w:rsidRDefault="00B9038E" w:rsidP="00B9038E">
      <w:pPr>
        <w:rPr>
          <w:rStyle w:val="goohl2"/>
          <w:rFonts w:ascii="Century Gothic" w:hAnsi="Century Gothic"/>
          <w:b/>
        </w:rPr>
      </w:pPr>
    </w:p>
    <w:p w:rsidR="00B9038E" w:rsidRPr="00B9038E" w:rsidRDefault="00B9038E" w:rsidP="00B9038E">
      <w:pPr>
        <w:rPr>
          <w:rStyle w:val="goohl2"/>
          <w:rFonts w:ascii="Century Gothic" w:hAnsi="Century Gothic"/>
          <w:b/>
        </w:rPr>
      </w:pPr>
    </w:p>
    <w:p w:rsidR="00B9038E" w:rsidRPr="00B9038E" w:rsidRDefault="00B9038E" w:rsidP="00B9038E">
      <w:pPr>
        <w:rPr>
          <w:rStyle w:val="goohl2"/>
          <w:rFonts w:ascii="Century Gothic" w:hAnsi="Century Gothic"/>
        </w:rPr>
      </w:pPr>
      <w:r w:rsidRPr="00B9038E">
        <w:rPr>
          <w:rStyle w:val="goohl2"/>
          <w:rFonts w:ascii="Century Gothic" w:hAnsi="Century Gothic"/>
        </w:rPr>
        <w:t>Chaque membre adhère au groupement de commandes par délibération de l’assemblée délibérante approuvant la convention constitutive ou par toute décision de l’instance autorisée.</w:t>
      </w:r>
    </w:p>
    <w:p w:rsidR="00B9038E" w:rsidRPr="00B9038E" w:rsidRDefault="00B9038E" w:rsidP="00B9038E">
      <w:pPr>
        <w:rPr>
          <w:rStyle w:val="goohl2"/>
          <w:rFonts w:ascii="Century Gothic" w:hAnsi="Century Gothic"/>
        </w:rPr>
      </w:pPr>
    </w:p>
    <w:p w:rsidR="00B9038E" w:rsidRPr="00B9038E" w:rsidRDefault="00B9038E" w:rsidP="00B9038E">
      <w:pPr>
        <w:rPr>
          <w:rFonts w:ascii="Century Gothic" w:hAnsi="Century Gothic"/>
        </w:rPr>
      </w:pPr>
      <w:r w:rsidRPr="00B9038E">
        <w:rPr>
          <w:rFonts w:ascii="Century Gothic" w:hAnsi="Century Gothic"/>
        </w:rPr>
        <w:t>Une copie de la délibération ou de la décision est notifiée au mandataire du groupement de commandes.</w:t>
      </w:r>
    </w:p>
    <w:p w:rsidR="00B9038E" w:rsidRPr="00B9038E" w:rsidRDefault="00B9038E" w:rsidP="00B9038E">
      <w:pPr>
        <w:rPr>
          <w:rStyle w:val="goohl2"/>
          <w:rFonts w:ascii="Century Gothic" w:hAnsi="Century Gothic"/>
          <w:b/>
        </w:rPr>
      </w:pPr>
    </w:p>
    <w:p w:rsidR="00B9038E" w:rsidRPr="00B9038E" w:rsidRDefault="00B9038E" w:rsidP="00B9038E">
      <w:pPr>
        <w:rPr>
          <w:rStyle w:val="goohl2"/>
          <w:rFonts w:ascii="Century Gothic" w:hAnsi="Century Gothic"/>
          <w:b/>
        </w:rPr>
      </w:pPr>
    </w:p>
    <w:p w:rsidR="00B9038E" w:rsidRPr="00B9038E" w:rsidRDefault="00B9038E" w:rsidP="00B9038E">
      <w:pPr>
        <w:rPr>
          <w:rStyle w:val="goohl2"/>
          <w:rFonts w:ascii="Century Gothic" w:hAnsi="Century Gothic"/>
          <w:b/>
        </w:rPr>
      </w:pPr>
      <w:r w:rsidRPr="00B9038E">
        <w:rPr>
          <w:rFonts w:ascii="Century Gothic" w:hAnsi="Century Gothic"/>
          <w:b/>
        </w:rPr>
        <w:t>ARTICLE 5 : Commission des marchés</w:t>
      </w:r>
    </w:p>
    <w:p w:rsidR="00B9038E" w:rsidRPr="00B9038E" w:rsidRDefault="00B9038E" w:rsidP="00B9038E">
      <w:pPr>
        <w:rPr>
          <w:rStyle w:val="goohl2"/>
          <w:rFonts w:ascii="Century Gothic" w:hAnsi="Century Gothic"/>
          <w:b/>
        </w:rPr>
      </w:pPr>
    </w:p>
    <w:p w:rsidR="00B9038E" w:rsidRPr="00B9038E" w:rsidRDefault="00B9038E" w:rsidP="00B9038E">
      <w:pPr>
        <w:rPr>
          <w:rStyle w:val="goohl2"/>
          <w:rFonts w:ascii="Century Gothic" w:hAnsi="Century Gothic"/>
          <w:b/>
        </w:rPr>
      </w:pPr>
    </w:p>
    <w:p w:rsidR="00B9038E" w:rsidRPr="00B9038E" w:rsidRDefault="00B9038E" w:rsidP="00B9038E">
      <w:pPr>
        <w:pStyle w:val="NormalWeb"/>
        <w:rPr>
          <w:rFonts w:ascii="Century Gothic" w:hAnsi="Century Gothic"/>
          <w:color w:val="333399"/>
          <w:sz w:val="20"/>
          <w:szCs w:val="20"/>
          <w:u w:val="single"/>
        </w:rPr>
      </w:pPr>
      <w:r w:rsidRPr="00B9038E">
        <w:rPr>
          <w:rFonts w:ascii="Century Gothic" w:hAnsi="Century Gothic"/>
          <w:color w:val="333399"/>
          <w:sz w:val="20"/>
          <w:szCs w:val="20"/>
          <w:u w:val="single"/>
        </w:rPr>
        <w:t>5-1 Composition</w:t>
      </w:r>
    </w:p>
    <w:p w:rsidR="00B9038E" w:rsidRPr="00B9038E" w:rsidRDefault="00B9038E" w:rsidP="00B9038E">
      <w:pPr>
        <w:rPr>
          <w:rFonts w:ascii="Century Gothic" w:hAnsi="Century Gothic"/>
        </w:rPr>
      </w:pPr>
      <w:r w:rsidRPr="00B9038E">
        <w:rPr>
          <w:rFonts w:ascii="Century Gothic" w:hAnsi="Century Gothic"/>
        </w:rPr>
        <w:t>La commission est présidée par le Directeur du CROUS ou son représentant. Sont également membres de la commission, le Président du l’Université d’Orléans ou son représentant, et le Président de l’Université de Tours ou son représentant.</w:t>
      </w:r>
    </w:p>
    <w:p w:rsidR="00B9038E" w:rsidRPr="00B9038E" w:rsidRDefault="00B9038E" w:rsidP="00B9038E">
      <w:pPr>
        <w:rPr>
          <w:rFonts w:ascii="Century Gothic" w:hAnsi="Century Gothic"/>
        </w:rPr>
      </w:pPr>
    </w:p>
    <w:p w:rsidR="00B9038E" w:rsidRPr="00B9038E" w:rsidRDefault="00B9038E" w:rsidP="00B9038E">
      <w:pPr>
        <w:pStyle w:val="NormalWeb"/>
        <w:rPr>
          <w:rFonts w:ascii="Century Gothic" w:hAnsi="Century Gothic"/>
          <w:color w:val="333399"/>
          <w:sz w:val="20"/>
          <w:szCs w:val="20"/>
          <w:u w:val="single"/>
        </w:rPr>
      </w:pPr>
    </w:p>
    <w:p w:rsidR="00B9038E" w:rsidRPr="00B9038E" w:rsidRDefault="00B9038E" w:rsidP="00B9038E">
      <w:pPr>
        <w:pStyle w:val="NormalWeb"/>
        <w:rPr>
          <w:rFonts w:ascii="Century Gothic" w:hAnsi="Century Gothic"/>
          <w:color w:val="333399"/>
          <w:sz w:val="20"/>
          <w:szCs w:val="20"/>
          <w:u w:val="single"/>
        </w:rPr>
      </w:pPr>
      <w:r w:rsidRPr="00B9038E">
        <w:rPr>
          <w:rFonts w:ascii="Century Gothic" w:hAnsi="Century Gothic"/>
          <w:color w:val="333399"/>
          <w:sz w:val="20"/>
          <w:szCs w:val="20"/>
          <w:u w:val="single"/>
        </w:rPr>
        <w:t>5-2 Rôle de la Commission des Marchés du groupement (article 8.V.II du code des marchés publics)</w:t>
      </w:r>
    </w:p>
    <w:p w:rsidR="00B9038E" w:rsidRPr="00B9038E" w:rsidRDefault="00B9038E" w:rsidP="00B9038E">
      <w:pPr>
        <w:pStyle w:val="Corpsdetext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entury Gothic" w:hAnsi="Century Gothic"/>
          <w:sz w:val="20"/>
        </w:rPr>
      </w:pPr>
      <w:r w:rsidRPr="00B9038E">
        <w:rPr>
          <w:rFonts w:ascii="Century Gothic" w:hAnsi="Century Gothic"/>
          <w:sz w:val="20"/>
        </w:rPr>
        <w:t>Elle élimine, au vu des renseignements relatifs aux candidatures, les candidatures qui ne peuvent être admises et dresse, en cas de procédure restreinte,  la liste des candidats autorisés à présenter une offre.</w:t>
      </w:r>
    </w:p>
    <w:p w:rsidR="00B9038E" w:rsidRPr="00B9038E" w:rsidRDefault="00B9038E" w:rsidP="00B903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entury Gothic" w:hAnsi="Century Gothic"/>
        </w:rPr>
      </w:pPr>
    </w:p>
    <w:p w:rsidR="00B9038E" w:rsidRPr="00B9038E" w:rsidRDefault="00B9038E" w:rsidP="00B9038E">
      <w:pPr>
        <w:pStyle w:val="Corpsdetext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entury Gothic" w:hAnsi="Century Gothic"/>
          <w:sz w:val="20"/>
        </w:rPr>
      </w:pPr>
      <w:r w:rsidRPr="00B9038E">
        <w:rPr>
          <w:rFonts w:ascii="Century Gothic" w:hAnsi="Century Gothic"/>
          <w:sz w:val="20"/>
        </w:rPr>
        <w:t>La Commission des Marchés élimine les offres non conformes à l'objet du marché et vérifie le contenu des offres des fournisseurs.</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r w:rsidRPr="00B9038E">
        <w:rPr>
          <w:rFonts w:ascii="Century Gothic" w:hAnsi="Century Gothic"/>
        </w:rPr>
        <w:t>Le mandataire choisit après avis de la Commission des Marchés le titulaire en fonction du critère unique de sélection des offres énoncées dans le dossier de consultation des entreprises (critère prix).</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p>
    <w:p w:rsidR="00B9038E" w:rsidRPr="00B9038E" w:rsidRDefault="00B9038E" w:rsidP="00B9038E">
      <w:pPr>
        <w:rPr>
          <w:rStyle w:val="goohl2"/>
          <w:rFonts w:ascii="Century Gothic" w:hAnsi="Century Gothic"/>
          <w:b/>
        </w:rPr>
      </w:pPr>
      <w:r w:rsidRPr="00B9038E">
        <w:rPr>
          <w:rFonts w:ascii="Century Gothic" w:hAnsi="Century Gothic"/>
          <w:b/>
        </w:rPr>
        <w:t xml:space="preserve">ARTICLE 6 : Obligations des membres du </w:t>
      </w:r>
      <w:r w:rsidRPr="00B9038E">
        <w:rPr>
          <w:rStyle w:val="goohl2"/>
          <w:rFonts w:ascii="Century Gothic" w:hAnsi="Century Gothic"/>
          <w:b/>
        </w:rPr>
        <w:t>groupement</w:t>
      </w:r>
    </w:p>
    <w:p w:rsidR="00B9038E" w:rsidRPr="00B9038E" w:rsidRDefault="00B9038E" w:rsidP="00B9038E">
      <w:pPr>
        <w:rPr>
          <w:rStyle w:val="goohl2"/>
          <w:rFonts w:ascii="Century Gothic" w:hAnsi="Century Gothic"/>
          <w:b/>
        </w:rPr>
      </w:pP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r w:rsidRPr="00B9038E">
        <w:rPr>
          <w:rFonts w:ascii="Century Gothic" w:hAnsi="Century Gothic"/>
        </w:rPr>
        <w:t xml:space="preserve">Chaque membre du </w:t>
      </w:r>
      <w:r w:rsidRPr="00B9038E">
        <w:rPr>
          <w:rStyle w:val="goohl2"/>
          <w:rFonts w:ascii="Century Gothic" w:hAnsi="Century Gothic"/>
        </w:rPr>
        <w:t>groupement</w:t>
      </w:r>
      <w:r w:rsidRPr="00B9038E">
        <w:rPr>
          <w:rFonts w:ascii="Century Gothic" w:hAnsi="Century Gothic"/>
        </w:rPr>
        <w:t xml:space="preserve"> s’engage à :</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r w:rsidRPr="00B9038E">
        <w:rPr>
          <w:rFonts w:ascii="Century Gothic" w:hAnsi="Century Gothic"/>
        </w:rPr>
        <w:t>1. Transmettre un état de ses besoins quantitatifs correspondant à sa consommation prévisionnelle annuelle dans les délais fixés par le mandataire ;</w:t>
      </w:r>
    </w:p>
    <w:p w:rsidR="00B9038E" w:rsidRPr="00B9038E" w:rsidRDefault="00B9038E" w:rsidP="00B9038E">
      <w:pPr>
        <w:rPr>
          <w:rFonts w:ascii="Century Gothic" w:hAnsi="Century Gothic"/>
        </w:rPr>
      </w:pPr>
    </w:p>
    <w:p w:rsidR="00B9038E" w:rsidRPr="00B9038E" w:rsidRDefault="00B9038E" w:rsidP="00B9038E">
      <w:pPr>
        <w:rPr>
          <w:rStyle w:val="goohl2"/>
          <w:rFonts w:ascii="Century Gothic" w:hAnsi="Century Gothic"/>
        </w:rPr>
      </w:pPr>
      <w:r w:rsidRPr="00B9038E">
        <w:rPr>
          <w:rFonts w:ascii="Century Gothic" w:hAnsi="Century Gothic"/>
        </w:rPr>
        <w:t xml:space="preserve">2. Indiquer au mandataire la personne désignée selon les propres règles de sa collectivité ou organisme public pour siéger à la Commission des Marchés du </w:t>
      </w:r>
      <w:r w:rsidRPr="00B9038E">
        <w:rPr>
          <w:rStyle w:val="goohl2"/>
          <w:rFonts w:ascii="Century Gothic" w:hAnsi="Century Gothic"/>
        </w:rPr>
        <w:t>groupement ;</w:t>
      </w:r>
    </w:p>
    <w:p w:rsidR="00B9038E" w:rsidRPr="00B9038E" w:rsidRDefault="00B9038E" w:rsidP="00B9038E">
      <w:pPr>
        <w:rPr>
          <w:rFonts w:ascii="Century Gothic" w:hAnsi="Century Gothic"/>
        </w:rPr>
      </w:pPr>
    </w:p>
    <w:p w:rsidR="00B9038E" w:rsidRPr="00B9038E" w:rsidRDefault="00B9038E" w:rsidP="00B9038E">
      <w:pPr>
        <w:rPr>
          <w:rStyle w:val="goohl2"/>
          <w:rFonts w:ascii="Century Gothic" w:hAnsi="Century Gothic"/>
        </w:rPr>
      </w:pPr>
      <w:r w:rsidRPr="00B9038E">
        <w:rPr>
          <w:rFonts w:ascii="Century Gothic" w:hAnsi="Century Gothic"/>
        </w:rPr>
        <w:t xml:space="preserve">3. Participer aux réunions de la Commission des Marchés du </w:t>
      </w:r>
      <w:r w:rsidRPr="00B9038E">
        <w:rPr>
          <w:rStyle w:val="goohl2"/>
          <w:rFonts w:ascii="Century Gothic" w:hAnsi="Century Gothic"/>
        </w:rPr>
        <w:t>groupement ;</w:t>
      </w:r>
    </w:p>
    <w:p w:rsidR="00B9038E" w:rsidRPr="00B9038E" w:rsidRDefault="00B9038E" w:rsidP="00B9038E">
      <w:pPr>
        <w:rPr>
          <w:rStyle w:val="goohl2"/>
          <w:rFonts w:ascii="Century Gothic" w:hAnsi="Century Gothic"/>
        </w:rPr>
      </w:pP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b/>
        </w:rPr>
      </w:pPr>
      <w:r w:rsidRPr="00B9038E">
        <w:rPr>
          <w:rFonts w:ascii="Century Gothic" w:hAnsi="Century Gothic"/>
          <w:b/>
        </w:rPr>
        <w:t>ARTICLE 7 : Participation au groupement</w:t>
      </w:r>
    </w:p>
    <w:p w:rsidR="00B9038E" w:rsidRPr="00B9038E" w:rsidRDefault="00B9038E" w:rsidP="00B9038E">
      <w:pPr>
        <w:rPr>
          <w:rFonts w:ascii="Century Gothic" w:hAnsi="Century Gothic"/>
          <w:b/>
        </w:rPr>
      </w:pPr>
    </w:p>
    <w:p w:rsidR="00B9038E" w:rsidRPr="00B9038E" w:rsidRDefault="00B9038E" w:rsidP="00B9038E">
      <w:pPr>
        <w:rPr>
          <w:rFonts w:ascii="Century Gothic" w:hAnsi="Century Gothic"/>
          <w:b/>
        </w:rPr>
      </w:pPr>
    </w:p>
    <w:p w:rsidR="00B9038E" w:rsidRPr="00B9038E" w:rsidRDefault="00B9038E" w:rsidP="00B9038E">
      <w:pPr>
        <w:rPr>
          <w:rFonts w:ascii="Century Gothic" w:hAnsi="Century Gothic"/>
        </w:rPr>
      </w:pPr>
      <w:r w:rsidRPr="00B9038E">
        <w:rPr>
          <w:rFonts w:ascii="Century Gothic" w:hAnsi="Century Gothic"/>
        </w:rPr>
        <w:t>Il ne sera pas demandé aux membres de contribution aux frais de gestion du groupement de commandes.</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b/>
        </w:rPr>
      </w:pPr>
      <w:r w:rsidRPr="00B9038E">
        <w:rPr>
          <w:rFonts w:ascii="Century Gothic" w:hAnsi="Century Gothic"/>
          <w:b/>
        </w:rPr>
        <w:t>ARTICLE 8 : Modification</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r w:rsidRPr="00B9038E">
        <w:rPr>
          <w:rFonts w:ascii="Century Gothic" w:hAnsi="Century Gothic"/>
        </w:rPr>
        <w:t>Toute modification de la présente convention doit être approuvée selon les mêmes formes que la convention constitutive par les membres du groupement. Les délibérations des assemblées délibérantes des membres du groupement sont notifiées au mandataire. La modification ne prend effet que lorsque l’ensemble des membres du groupement a approuvé les modifications.</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b/>
        </w:rPr>
      </w:pPr>
      <w:r w:rsidRPr="00B9038E">
        <w:rPr>
          <w:rFonts w:ascii="Century Gothic" w:hAnsi="Century Gothic"/>
          <w:b/>
        </w:rPr>
        <w:t>ARTICLE 9 : Durée et exécution de la convention constitutive</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b/>
        </w:rPr>
      </w:pPr>
    </w:p>
    <w:p w:rsidR="00B9038E" w:rsidRPr="00B9038E" w:rsidRDefault="00B9038E" w:rsidP="00B9038E">
      <w:pPr>
        <w:rPr>
          <w:rFonts w:ascii="Century Gothic" w:hAnsi="Century Gothic"/>
        </w:rPr>
      </w:pPr>
      <w:r w:rsidRPr="00B9038E">
        <w:rPr>
          <w:rFonts w:ascii="Century Gothic" w:hAnsi="Century Gothic"/>
        </w:rPr>
        <w:t xml:space="preserve">La présente </w:t>
      </w:r>
      <w:r w:rsidRPr="00B9038E">
        <w:rPr>
          <w:rStyle w:val="goohl0"/>
          <w:rFonts w:ascii="Century Gothic" w:hAnsi="Century Gothic"/>
        </w:rPr>
        <w:t>convention</w:t>
      </w:r>
      <w:r w:rsidRPr="00B9038E">
        <w:rPr>
          <w:rFonts w:ascii="Century Gothic" w:hAnsi="Century Gothic"/>
        </w:rPr>
        <w:t xml:space="preserve"> prend effet à compter de sa signature par ses membres jusqu‘au terme du marché. </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r w:rsidRPr="00B9038E">
        <w:rPr>
          <w:rFonts w:ascii="Century Gothic" w:hAnsi="Century Gothic"/>
        </w:rPr>
        <w:t>Fait à Orléans en 3 exemplaires originaux, le</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r w:rsidRPr="00B9038E">
        <w:rPr>
          <w:rFonts w:ascii="Century Gothic" w:hAnsi="Century Gothic"/>
        </w:rPr>
        <w:t xml:space="preserve">     Le Directeur</w:t>
      </w:r>
      <w:r w:rsidRPr="00B9038E">
        <w:rPr>
          <w:rFonts w:ascii="Century Gothic" w:hAnsi="Century Gothic"/>
        </w:rPr>
        <w:tab/>
        <w:t xml:space="preserve">                 Le Président de</w:t>
      </w:r>
      <w:r w:rsidRPr="00B9038E">
        <w:rPr>
          <w:rFonts w:ascii="Century Gothic" w:hAnsi="Century Gothic"/>
        </w:rPr>
        <w:tab/>
      </w:r>
      <w:r w:rsidRPr="00B9038E">
        <w:rPr>
          <w:rFonts w:ascii="Century Gothic" w:hAnsi="Century Gothic"/>
        </w:rPr>
        <w:tab/>
        <w:t xml:space="preserve">                   Le Président de</w:t>
      </w:r>
    </w:p>
    <w:p w:rsidR="00B9038E" w:rsidRPr="00B9038E" w:rsidRDefault="00B9038E" w:rsidP="00B9038E">
      <w:pPr>
        <w:rPr>
          <w:rFonts w:ascii="Century Gothic" w:hAnsi="Century Gothic"/>
        </w:rPr>
      </w:pPr>
      <w:r w:rsidRPr="00B9038E">
        <w:rPr>
          <w:rFonts w:ascii="Century Gothic" w:hAnsi="Century Gothic"/>
        </w:rPr>
        <w:t xml:space="preserve">      </w:t>
      </w:r>
      <w:proofErr w:type="gramStart"/>
      <w:r w:rsidRPr="00B9038E">
        <w:rPr>
          <w:rFonts w:ascii="Century Gothic" w:hAnsi="Century Gothic"/>
        </w:rPr>
        <w:t>du</w:t>
      </w:r>
      <w:proofErr w:type="gramEnd"/>
      <w:r w:rsidRPr="00B9038E">
        <w:rPr>
          <w:rFonts w:ascii="Century Gothic" w:hAnsi="Century Gothic"/>
        </w:rPr>
        <w:t xml:space="preserve"> CROUS</w:t>
      </w:r>
      <w:r w:rsidRPr="00B9038E">
        <w:rPr>
          <w:rFonts w:ascii="Century Gothic" w:hAnsi="Century Gothic"/>
        </w:rPr>
        <w:tab/>
      </w:r>
      <w:r w:rsidRPr="00B9038E">
        <w:rPr>
          <w:rFonts w:ascii="Century Gothic" w:hAnsi="Century Gothic"/>
        </w:rPr>
        <w:tab/>
        <w:t xml:space="preserve">             l’Université d’Orléans</w:t>
      </w:r>
      <w:r w:rsidRPr="00B9038E">
        <w:rPr>
          <w:rFonts w:ascii="Century Gothic" w:hAnsi="Century Gothic"/>
        </w:rPr>
        <w:tab/>
      </w:r>
      <w:r w:rsidRPr="00B9038E">
        <w:rPr>
          <w:rFonts w:ascii="Century Gothic" w:hAnsi="Century Gothic"/>
        </w:rPr>
        <w:tab/>
        <w:t xml:space="preserve">          l’Université François Rabelais</w:t>
      </w: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p>
    <w:p w:rsidR="00B9038E" w:rsidRPr="00B9038E" w:rsidRDefault="00B9038E" w:rsidP="00B9038E">
      <w:pPr>
        <w:rPr>
          <w:rFonts w:ascii="Century Gothic" w:hAnsi="Century Gothic"/>
        </w:rPr>
      </w:pPr>
      <w:r w:rsidRPr="00B9038E">
        <w:rPr>
          <w:rFonts w:ascii="Century Gothic" w:hAnsi="Century Gothic"/>
        </w:rPr>
        <w:t xml:space="preserve">    H. AMIARD</w:t>
      </w:r>
      <w:r w:rsidRPr="00B9038E">
        <w:rPr>
          <w:rFonts w:ascii="Century Gothic" w:hAnsi="Century Gothic"/>
        </w:rPr>
        <w:tab/>
      </w:r>
      <w:r w:rsidRPr="00B9038E">
        <w:rPr>
          <w:rFonts w:ascii="Century Gothic" w:hAnsi="Century Gothic"/>
        </w:rPr>
        <w:tab/>
      </w:r>
      <w:r w:rsidRPr="00B9038E">
        <w:rPr>
          <w:rFonts w:ascii="Century Gothic" w:hAnsi="Century Gothic"/>
        </w:rPr>
        <w:tab/>
        <w:t xml:space="preserve">       Y. TOURE</w:t>
      </w:r>
      <w:r w:rsidRPr="00B9038E">
        <w:rPr>
          <w:rFonts w:ascii="Century Gothic" w:hAnsi="Century Gothic"/>
        </w:rPr>
        <w:tab/>
      </w:r>
      <w:r w:rsidRPr="00B9038E">
        <w:rPr>
          <w:rFonts w:ascii="Century Gothic" w:hAnsi="Century Gothic"/>
        </w:rPr>
        <w:tab/>
      </w:r>
      <w:r w:rsidRPr="00B9038E">
        <w:rPr>
          <w:rFonts w:ascii="Century Gothic" w:hAnsi="Century Gothic"/>
        </w:rPr>
        <w:tab/>
        <w:t xml:space="preserve">                   L. VAILLANT</w:t>
      </w:r>
    </w:p>
    <w:p w:rsidR="00B9038E" w:rsidRPr="00B9038E" w:rsidRDefault="00B9038E" w:rsidP="00B9038E">
      <w:pPr>
        <w:rPr>
          <w:rFonts w:ascii="Century Gothic" w:hAnsi="Century Gothic"/>
        </w:rPr>
      </w:pPr>
    </w:p>
    <w:p w:rsidR="00B9038E" w:rsidRPr="004E47EF" w:rsidRDefault="00B9038E" w:rsidP="00B9038E">
      <w:pPr>
        <w:rPr>
          <w:rFonts w:ascii="Century Gothic" w:hAnsi="Century Gothic"/>
          <w:sz w:val="22"/>
          <w:szCs w:val="22"/>
        </w:rPr>
      </w:pPr>
    </w:p>
    <w:sectPr w:rsidR="00B9038E" w:rsidRPr="004E47EF" w:rsidSect="000A79E4">
      <w:pgSz w:w="11906" w:h="16838"/>
      <w:pgMar w:top="107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Univers">
    <w:altName w:val="Arial"/>
    <w:panose1 w:val="020B0603020202030204"/>
    <w:charset w:val="00"/>
    <w:family w:val="swiss"/>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20000287" w:usb1="00000000"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8B3"/>
    <w:rsid w:val="00032FCA"/>
    <w:rsid w:val="000A79E4"/>
    <w:rsid w:val="0011636D"/>
    <w:rsid w:val="00143928"/>
    <w:rsid w:val="001908E7"/>
    <w:rsid w:val="0019700E"/>
    <w:rsid w:val="001F6091"/>
    <w:rsid w:val="00235B7E"/>
    <w:rsid w:val="002967A0"/>
    <w:rsid w:val="002D15FB"/>
    <w:rsid w:val="003048B3"/>
    <w:rsid w:val="00327825"/>
    <w:rsid w:val="00397AB4"/>
    <w:rsid w:val="003A487B"/>
    <w:rsid w:val="0045552A"/>
    <w:rsid w:val="0047256C"/>
    <w:rsid w:val="0047744D"/>
    <w:rsid w:val="00521CF9"/>
    <w:rsid w:val="006008F3"/>
    <w:rsid w:val="00660A10"/>
    <w:rsid w:val="006C4DEA"/>
    <w:rsid w:val="00730E33"/>
    <w:rsid w:val="00737668"/>
    <w:rsid w:val="007B34B0"/>
    <w:rsid w:val="007B76E7"/>
    <w:rsid w:val="007E32B5"/>
    <w:rsid w:val="00804C0F"/>
    <w:rsid w:val="008377C6"/>
    <w:rsid w:val="00893A3B"/>
    <w:rsid w:val="00957C53"/>
    <w:rsid w:val="00990F02"/>
    <w:rsid w:val="009A255B"/>
    <w:rsid w:val="00A12742"/>
    <w:rsid w:val="00A16E1E"/>
    <w:rsid w:val="00B21980"/>
    <w:rsid w:val="00B23C1B"/>
    <w:rsid w:val="00B37E3E"/>
    <w:rsid w:val="00B548E3"/>
    <w:rsid w:val="00B9038E"/>
    <w:rsid w:val="00BE1E0F"/>
    <w:rsid w:val="00C10185"/>
    <w:rsid w:val="00C73E5D"/>
    <w:rsid w:val="00C95886"/>
    <w:rsid w:val="00CB5AF1"/>
    <w:rsid w:val="00CD6B23"/>
    <w:rsid w:val="00D0162D"/>
    <w:rsid w:val="00D34F6F"/>
    <w:rsid w:val="00D97B01"/>
    <w:rsid w:val="00DF5527"/>
    <w:rsid w:val="00E36AFA"/>
    <w:rsid w:val="00E64769"/>
    <w:rsid w:val="00E71BEF"/>
    <w:rsid w:val="00EF35D4"/>
    <w:rsid w:val="00F17873"/>
    <w:rsid w:val="00F92D19"/>
    <w:rsid w:val="00F9303D"/>
    <w:rsid w:val="00FC1716"/>
    <w:rsid w:val="00FD1F54"/>
    <w:rsid w:val="00FE24E4"/>
    <w:rsid w:val="00FF0A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colormru v:ext="edit" colors="#cc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AF1"/>
    <w:pPr>
      <w:jc w:val="both"/>
    </w:pPr>
    <w:rPr>
      <w:rFonts w:ascii="Univers" w:hAnsi="Univers"/>
    </w:rPr>
  </w:style>
  <w:style w:type="paragraph" w:styleId="Titre9">
    <w:name w:val="heading 9"/>
    <w:basedOn w:val="Normal"/>
    <w:next w:val="Normal"/>
    <w:qFormat/>
    <w:rsid w:val="00CB5AF1"/>
    <w:pPr>
      <w:keepNext/>
      <w:outlineLvl w:val="8"/>
    </w:pPr>
    <w:rPr>
      <w:b/>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CB5AF1"/>
    <w:rPr>
      <w:sz w:val="24"/>
    </w:rPr>
  </w:style>
  <w:style w:type="paragraph" w:styleId="Corpsdetexte2">
    <w:name w:val="Body Text 2"/>
    <w:basedOn w:val="Normal"/>
    <w:rsid w:val="00CB5AF1"/>
    <w:rPr>
      <w:color w:val="FF0000"/>
      <w:sz w:val="24"/>
    </w:rPr>
  </w:style>
  <w:style w:type="paragraph" w:styleId="Textedebulles">
    <w:name w:val="Balloon Text"/>
    <w:basedOn w:val="Normal"/>
    <w:link w:val="TextedebullesCar"/>
    <w:uiPriority w:val="99"/>
    <w:semiHidden/>
    <w:unhideWhenUsed/>
    <w:rsid w:val="00B9038E"/>
    <w:rPr>
      <w:rFonts w:ascii="Tahoma" w:hAnsi="Tahoma" w:cs="Tahoma"/>
      <w:sz w:val="16"/>
      <w:szCs w:val="16"/>
    </w:rPr>
  </w:style>
  <w:style w:type="character" w:customStyle="1" w:styleId="TextedebullesCar">
    <w:name w:val="Texte de bulles Car"/>
    <w:basedOn w:val="Policepardfaut"/>
    <w:link w:val="Textedebulles"/>
    <w:uiPriority w:val="99"/>
    <w:semiHidden/>
    <w:rsid w:val="00B9038E"/>
    <w:rPr>
      <w:rFonts w:ascii="Tahoma" w:hAnsi="Tahoma" w:cs="Tahoma"/>
      <w:sz w:val="16"/>
      <w:szCs w:val="16"/>
    </w:rPr>
  </w:style>
  <w:style w:type="paragraph" w:styleId="NormalWeb">
    <w:name w:val="Normal (Web)"/>
    <w:basedOn w:val="Normal"/>
    <w:rsid w:val="00B9038E"/>
    <w:pPr>
      <w:spacing w:before="100" w:beforeAutospacing="1" w:after="100" w:afterAutospacing="1"/>
      <w:jc w:val="left"/>
    </w:pPr>
    <w:rPr>
      <w:rFonts w:ascii="Arial" w:eastAsia="PMingLiU" w:hAnsi="Arial" w:cs="Arial"/>
      <w:color w:val="000000"/>
      <w:sz w:val="17"/>
      <w:szCs w:val="17"/>
      <w:lang w:eastAsia="zh-TW"/>
    </w:rPr>
  </w:style>
  <w:style w:type="character" w:customStyle="1" w:styleId="goohl3">
    <w:name w:val="goohl3"/>
    <w:basedOn w:val="Policepardfaut"/>
    <w:rsid w:val="00B9038E"/>
  </w:style>
  <w:style w:type="character" w:customStyle="1" w:styleId="goohl1">
    <w:name w:val="goohl1"/>
    <w:basedOn w:val="Policepardfaut"/>
    <w:rsid w:val="00B9038E"/>
  </w:style>
  <w:style w:type="character" w:customStyle="1" w:styleId="goohl0">
    <w:name w:val="goohl0"/>
    <w:basedOn w:val="Policepardfaut"/>
    <w:rsid w:val="00B9038E"/>
  </w:style>
  <w:style w:type="character" w:customStyle="1" w:styleId="goohl2">
    <w:name w:val="goohl2"/>
    <w:basedOn w:val="Policepardfaut"/>
    <w:rsid w:val="00B9038E"/>
  </w:style>
  <w:style w:type="paragraph" w:styleId="Titre">
    <w:name w:val="Title"/>
    <w:basedOn w:val="Normal"/>
    <w:link w:val="TitreCar"/>
    <w:qFormat/>
    <w:rsid w:val="00B9038E"/>
    <w:pPr>
      <w:jc w:val="center"/>
    </w:pPr>
    <w:rPr>
      <w:rFonts w:ascii="Verdana" w:hAnsi="Verdana"/>
      <w:b/>
    </w:rPr>
  </w:style>
  <w:style w:type="character" w:customStyle="1" w:styleId="TitreCar">
    <w:name w:val="Titre Car"/>
    <w:basedOn w:val="Policepardfaut"/>
    <w:link w:val="Titre"/>
    <w:rsid w:val="00B9038E"/>
    <w:rPr>
      <w:rFonts w:ascii="Verdana" w:hAnsi="Verdana"/>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AF1"/>
    <w:pPr>
      <w:jc w:val="both"/>
    </w:pPr>
    <w:rPr>
      <w:rFonts w:ascii="Univers" w:hAnsi="Univers"/>
    </w:rPr>
  </w:style>
  <w:style w:type="paragraph" w:styleId="Titre9">
    <w:name w:val="heading 9"/>
    <w:basedOn w:val="Normal"/>
    <w:next w:val="Normal"/>
    <w:qFormat/>
    <w:rsid w:val="00CB5AF1"/>
    <w:pPr>
      <w:keepNext/>
      <w:outlineLvl w:val="8"/>
    </w:pPr>
    <w:rPr>
      <w:b/>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CB5AF1"/>
    <w:rPr>
      <w:sz w:val="24"/>
    </w:rPr>
  </w:style>
  <w:style w:type="paragraph" w:styleId="Corpsdetexte2">
    <w:name w:val="Body Text 2"/>
    <w:basedOn w:val="Normal"/>
    <w:rsid w:val="00CB5AF1"/>
    <w:rPr>
      <w:color w:val="FF0000"/>
      <w:sz w:val="24"/>
    </w:rPr>
  </w:style>
  <w:style w:type="paragraph" w:styleId="Textedebulles">
    <w:name w:val="Balloon Text"/>
    <w:basedOn w:val="Normal"/>
    <w:link w:val="TextedebullesCar"/>
    <w:uiPriority w:val="99"/>
    <w:semiHidden/>
    <w:unhideWhenUsed/>
    <w:rsid w:val="00B9038E"/>
    <w:rPr>
      <w:rFonts w:ascii="Tahoma" w:hAnsi="Tahoma" w:cs="Tahoma"/>
      <w:sz w:val="16"/>
      <w:szCs w:val="16"/>
    </w:rPr>
  </w:style>
  <w:style w:type="character" w:customStyle="1" w:styleId="TextedebullesCar">
    <w:name w:val="Texte de bulles Car"/>
    <w:basedOn w:val="Policepardfaut"/>
    <w:link w:val="Textedebulles"/>
    <w:uiPriority w:val="99"/>
    <w:semiHidden/>
    <w:rsid w:val="00B9038E"/>
    <w:rPr>
      <w:rFonts w:ascii="Tahoma" w:hAnsi="Tahoma" w:cs="Tahoma"/>
      <w:sz w:val="16"/>
      <w:szCs w:val="16"/>
    </w:rPr>
  </w:style>
  <w:style w:type="paragraph" w:styleId="NormalWeb">
    <w:name w:val="Normal (Web)"/>
    <w:basedOn w:val="Normal"/>
    <w:rsid w:val="00B9038E"/>
    <w:pPr>
      <w:spacing w:before="100" w:beforeAutospacing="1" w:after="100" w:afterAutospacing="1"/>
      <w:jc w:val="left"/>
    </w:pPr>
    <w:rPr>
      <w:rFonts w:ascii="Arial" w:eastAsia="PMingLiU" w:hAnsi="Arial" w:cs="Arial"/>
      <w:color w:val="000000"/>
      <w:sz w:val="17"/>
      <w:szCs w:val="17"/>
      <w:lang w:eastAsia="zh-TW"/>
    </w:rPr>
  </w:style>
  <w:style w:type="character" w:customStyle="1" w:styleId="goohl3">
    <w:name w:val="goohl3"/>
    <w:basedOn w:val="Policepardfaut"/>
    <w:rsid w:val="00B9038E"/>
  </w:style>
  <w:style w:type="character" w:customStyle="1" w:styleId="goohl1">
    <w:name w:val="goohl1"/>
    <w:basedOn w:val="Policepardfaut"/>
    <w:rsid w:val="00B9038E"/>
  </w:style>
  <w:style w:type="character" w:customStyle="1" w:styleId="goohl0">
    <w:name w:val="goohl0"/>
    <w:basedOn w:val="Policepardfaut"/>
    <w:rsid w:val="00B9038E"/>
  </w:style>
  <w:style w:type="character" w:customStyle="1" w:styleId="goohl2">
    <w:name w:val="goohl2"/>
    <w:basedOn w:val="Policepardfaut"/>
    <w:rsid w:val="00B9038E"/>
  </w:style>
  <w:style w:type="paragraph" w:styleId="Titre">
    <w:name w:val="Title"/>
    <w:basedOn w:val="Normal"/>
    <w:link w:val="TitreCar"/>
    <w:qFormat/>
    <w:rsid w:val="00B9038E"/>
    <w:pPr>
      <w:jc w:val="center"/>
    </w:pPr>
    <w:rPr>
      <w:rFonts w:ascii="Verdana" w:hAnsi="Verdana"/>
      <w:b/>
    </w:rPr>
  </w:style>
  <w:style w:type="character" w:customStyle="1" w:styleId="TitreCar">
    <w:name w:val="Titre Car"/>
    <w:basedOn w:val="Policepardfaut"/>
    <w:link w:val="Titre"/>
    <w:rsid w:val="00B9038E"/>
    <w:rPr>
      <w:rFonts w:ascii="Verdana" w:hAnsi="Verdana"/>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1040</Words>
  <Characters>6080</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lpstr>
    </vt:vector>
  </TitlesOfParts>
  <Company>CROUS ORLEANS TOURS</Company>
  <LinksUpToDate>false</LinksUpToDate>
  <CharactersWithSpaces>7106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Administrateur</dc:creator>
  <cp:keywords/>
  <dc:description/>
  <cp:lastModifiedBy>Jean François MALLERET</cp:lastModifiedBy>
  <cp:revision>3</cp:revision>
  <cp:lastPrinted>2007-02-16T14:43:00Z</cp:lastPrinted>
  <dcterms:created xsi:type="dcterms:W3CDTF">2014-01-30T14:05:00Z</dcterms:created>
  <dcterms:modified xsi:type="dcterms:W3CDTF">2014-01-30T14:06:00Z</dcterms:modified>
</cp:coreProperties>
</file>

<file path=docProps/custom.xml><?xml version="1.0" encoding="utf-8"?>
<Properties xmlns="http://schemas.openxmlformats.org/officeDocument/2006/custom-properties" xmlns:vt="http://schemas.openxmlformats.org/officeDocument/2006/docPropsVTypes"/>
</file>